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9D80E4F" w14:textId="77777777" w:rsidR="00641C77" w:rsidRDefault="00EF2A76" w:rsidP="00012F30">
      <w:pPr>
        <w:jc w:val="both"/>
        <w:rPr>
          <w:sz w:val="2"/>
          <w:szCs w:val="2"/>
        </w:rPr>
      </w:pPr>
      <w:bookmarkStart w:id="0" w:name="_GoBack"/>
      <w:r>
        <w:pict w14:anchorId="6F063A8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512.65pt;margin-top:538.65pt;width:10.3pt;height:10.9pt;z-index:-125829375;mso-wrap-distance-left:5pt;mso-wrap-distance-right:5pt;mso-position-horizontal-relative:margin" filled="f" stroked="f">
            <v:textbox style="mso-fit-shape-to-text:t" inset="0,0,0,0">
              <w:txbxContent>
                <w:p w14:paraId="50733F10" w14:textId="77777777" w:rsidR="00641C77" w:rsidRDefault="00EF2A76">
                  <w:pPr>
                    <w:pStyle w:val="Corpsdutexte4"/>
                    <w:shd w:val="clear" w:color="auto" w:fill="auto"/>
                    <w:spacing w:line="160" w:lineRule="exact"/>
                  </w:pPr>
                  <w:r>
                    <w:t>33</w:t>
                  </w:r>
                </w:p>
              </w:txbxContent>
            </v:textbox>
            <w10:wrap type="topAndBottom" anchorx="margin"/>
          </v:shape>
        </w:pict>
      </w:r>
    </w:p>
    <w:p w14:paraId="60A9B826" w14:textId="0653911D" w:rsidR="00641C77" w:rsidRDefault="00EF2A76" w:rsidP="00012F30">
      <w:pPr>
        <w:pStyle w:val="Corpsdutexte20"/>
        <w:shd w:val="clear" w:color="auto" w:fill="auto"/>
        <w:ind w:firstLine="86"/>
      </w:pPr>
      <w:r>
        <w:t>Longtemps l’</w:t>
      </w:r>
      <w:r>
        <w:t xml:space="preserve">âme se disait </w:t>
      </w:r>
      <w:r>
        <w:rPr>
          <w:rStyle w:val="Corpsdutexte2Italique"/>
        </w:rPr>
        <w:t>pneuma</w:t>
      </w:r>
      <w:r>
        <w:t xml:space="preserve"> ou </w:t>
      </w:r>
      <w:r>
        <w:rPr>
          <w:rStyle w:val="Corpsdutexte2Italique"/>
        </w:rPr>
        <w:t>psyché</w:t>
      </w:r>
      <w:r>
        <w:t>: le</w:t>
      </w:r>
      <w:r w:rsidR="00280E92">
        <w:t>  </w:t>
      </w:r>
      <w:r>
        <w:t>«souffle». En 1904, le philosophe américain William James faisait</w:t>
      </w:r>
      <w:r w:rsidR="00280E92">
        <w:t>  </w:t>
      </w:r>
      <w:r>
        <w:t>l’hypothèse que «le souffle, qui fut le prototype de “l’esprit”, le</w:t>
      </w:r>
      <w:r w:rsidR="00280E92">
        <w:t>  </w:t>
      </w:r>
      <w:r>
        <w:t>souffle qui sort de nous entre la glotte et les narines est [...] l’es</w:t>
      </w:r>
      <w:r>
        <w:t xml:space="preserve">sence à partir </w:t>
      </w:r>
      <w:r>
        <w:t>de laquelle les philosophes ont construit l’entité</w:t>
      </w:r>
      <w:r w:rsidR="00280E92">
        <w:t>  </w:t>
      </w:r>
      <w:r>
        <w:t>connue d’eux sous le nom de “conscience”</w:t>
      </w:r>
      <w:r>
        <w:rPr>
          <w:vertAlign w:val="superscript"/>
        </w:rPr>
        <w:t>17</w:t>
      </w:r>
      <w:r>
        <w:t>.» Aujourd’hui, à Engis,</w:t>
      </w:r>
      <w:r w:rsidR="00280E92">
        <w:t>  </w:t>
      </w:r>
      <w:r>
        <w:t>la commune la plus meurtrie par le brouillard de 1930, la station</w:t>
      </w:r>
      <w:r w:rsidR="00280E92">
        <w:t>  </w:t>
      </w:r>
      <w:r>
        <w:t>de mesure de la pollution atmosphérique enregistre régulièrement</w:t>
      </w:r>
      <w:r w:rsidR="00280E92">
        <w:t>  </w:t>
      </w:r>
      <w:r>
        <w:t>des dép</w:t>
      </w:r>
      <w:r>
        <w:t>assements des normes européennes de concentration jour</w:t>
      </w:r>
      <w:r>
        <w:t>nalière en certains polluants. Nous respirons les airs d’une atmos</w:t>
      </w:r>
      <w:r>
        <w:t>phère façonnée par plus de deux siècles d’industries fossiles. Nous</w:t>
      </w:r>
      <w:r w:rsidR="00280E92">
        <w:t>  </w:t>
      </w:r>
      <w:r>
        <w:t xml:space="preserve">ne sommes pas tout </w:t>
      </w:r>
      <w:r>
        <w:rPr>
          <w:rStyle w:val="Corpsdutexte210pt"/>
        </w:rPr>
        <w:t xml:space="preserve">à </w:t>
      </w:r>
      <w:r>
        <w:t>fait sortis du brouillard de 1930.</w:t>
      </w:r>
    </w:p>
    <w:p w14:paraId="6A0A86A2" w14:textId="2718B741" w:rsidR="00641C77" w:rsidRDefault="00EF2A76" w:rsidP="00012F30">
      <w:pPr>
        <w:pStyle w:val="Corpsdutexte20"/>
        <w:shd w:val="clear" w:color="auto" w:fill="auto"/>
        <w:spacing w:after="0"/>
        <w:ind w:firstLine="86"/>
      </w:pPr>
      <w:r>
        <w:t>Bien ava</w:t>
      </w:r>
      <w:r>
        <w:t>nt c</w:t>
      </w:r>
      <w:r w:rsidR="00347FA6">
        <w:t>e</w:t>
      </w:r>
      <w:r>
        <w:t>s nuages contemporains il y eut d’autres brouillards</w:t>
      </w:r>
      <w:r w:rsidR="00280E92">
        <w:t>  </w:t>
      </w:r>
      <w:r>
        <w:t>industriels et toxiques. Les brouillards qui envahirent Londres</w:t>
      </w:r>
      <w:r w:rsidR="00280E92">
        <w:t>  </w:t>
      </w:r>
      <w:r>
        <w:t>tout au long de la seconde partie du xix</w:t>
      </w:r>
      <w:r>
        <w:rPr>
          <w:vertAlign w:val="superscript"/>
        </w:rPr>
        <w:t>e</w:t>
      </w:r>
      <w:r>
        <w:t xml:space="preserve"> siècle en sont une bonne</w:t>
      </w:r>
      <w:r w:rsidR="00280E92">
        <w:t>  </w:t>
      </w:r>
      <w:r>
        <w:t>illustration</w:t>
      </w:r>
      <w:r>
        <w:rPr>
          <w:vertAlign w:val="superscript"/>
        </w:rPr>
        <w:t>18</w:t>
      </w:r>
      <w:r>
        <w:t>. Au xx</w:t>
      </w:r>
      <w:r>
        <w:rPr>
          <w:vertAlign w:val="superscript"/>
        </w:rPr>
        <w:t>e</w:t>
      </w:r>
      <w:r>
        <w:t xml:space="preserve"> siècle, la littérature scientifique retient </w:t>
      </w:r>
      <w:r>
        <w:t>trois</w:t>
      </w:r>
      <w:r w:rsidR="00280E92">
        <w:t>  </w:t>
      </w:r>
      <w:r>
        <w:t>épisodes majeurs qui provoquèrent la mort subite de plusieurs</w:t>
      </w:r>
      <w:r w:rsidR="00280E92">
        <w:t>  </w:t>
      </w:r>
      <w:r>
        <w:t>dizaines à plusieurs milliers de personnes. «Le brouillard mortel</w:t>
      </w:r>
      <w:r w:rsidR="00280E92">
        <w:t>  </w:t>
      </w:r>
      <w:r>
        <w:t>de la vallée de la Meuse» de 1930 inaugure cette série, à laquelle</w:t>
      </w:r>
      <w:r w:rsidR="00280E92">
        <w:t>  </w:t>
      </w:r>
      <w:r>
        <w:t>appartiennent également le «Smog mortel de Donora» de 1</w:t>
      </w:r>
      <w:r>
        <w:t>948 et le</w:t>
      </w:r>
      <w:r w:rsidR="00280E92">
        <w:t>  </w:t>
      </w:r>
      <w:r>
        <w:t>«Smog de Londres» de 1952</w:t>
      </w:r>
      <w:r>
        <w:rPr>
          <w:vertAlign w:val="superscript"/>
        </w:rPr>
        <w:t>19</w:t>
      </w:r>
      <w:r>
        <w:t>. L’histoire du brouillard mortel de la</w:t>
      </w:r>
      <w:r w:rsidR="00280E92">
        <w:t>  </w:t>
      </w:r>
      <w:r>
        <w:t xml:space="preserve">vallée de la Meuse peut ainsi être conçue </w:t>
      </w:r>
      <w:r w:rsidR="00347FA6">
        <w:t>comme</w:t>
      </w:r>
      <w:r>
        <w:t xml:space="preserve"> l’une des facettes</w:t>
      </w:r>
      <w:r w:rsidR="00280E92">
        <w:t>  </w:t>
      </w:r>
      <w:r>
        <w:t>d’une histoire plus conséquente des altérations parfois mortelles,</w:t>
      </w:r>
      <w:r w:rsidR="00280E92">
        <w:t>  </w:t>
      </w:r>
      <w:r>
        <w:t>souvent morbides, des conditions atmosphériq</w:t>
      </w:r>
      <w:r>
        <w:t>ues de la vie</w:t>
      </w:r>
      <w:r>
        <w:rPr>
          <w:vertAlign w:val="superscript"/>
        </w:rPr>
        <w:t>20</w:t>
      </w:r>
      <w:r>
        <w:t>. Elle</w:t>
      </w:r>
      <w:r w:rsidR="00280E92">
        <w:t>  </w:t>
      </w:r>
      <w:r>
        <w:t>peut permettre de dégager quelques pistes pour comprendre com</w:t>
      </w:r>
      <w:r>
        <w:t>ment des hommes ont réussi à rendre irrespirable le milieu condi</w:t>
      </w:r>
      <w:r>
        <w:t>tionnant l’existence de populations entières.</w:t>
      </w:r>
    </w:p>
    <w:p w14:paraId="7F1BC55C" w14:textId="3A5B7FA2" w:rsidR="00641C77" w:rsidRDefault="00EF2A76" w:rsidP="00012F30">
      <w:pPr>
        <w:pStyle w:val="Corpsdutexte20"/>
        <w:shd w:val="clear" w:color="auto" w:fill="auto"/>
        <w:spacing w:after="0"/>
        <w:ind w:firstLine="298"/>
      </w:pPr>
      <w:r>
        <w:t>Ce brouillard a cependant déjà une histoire. Au début des</w:t>
      </w:r>
      <w:r w:rsidR="00280E92">
        <w:t>  </w:t>
      </w:r>
      <w:r>
        <w:t>a</w:t>
      </w:r>
      <w:r>
        <w:t>nnées i960, l’Organisation mondiale de la santé publie une série</w:t>
      </w:r>
      <w:r w:rsidR="00280E92">
        <w:t>  </w:t>
      </w:r>
      <w:r>
        <w:t>d’études sur la pollution de l’air au sein desquelles le brouillard</w:t>
      </w:r>
      <w:r w:rsidR="00280E92">
        <w:t>  </w:t>
      </w:r>
      <w:r>
        <w:t>mortel de la vallée de la Meuse figure comme le premier volet de</w:t>
      </w:r>
      <w:r w:rsidR="00280E92">
        <w:t>  </w:t>
      </w:r>
      <w:r>
        <w:t>ce triptyque de brouillards mortels et toxiques ayant cont</w:t>
      </w:r>
      <w:r>
        <w:t>ribué à</w:t>
      </w:r>
      <w:r w:rsidR="00280E92">
        <w:t>  </w:t>
      </w:r>
      <w:r>
        <w:t>attirer l’attention des «milieux médicaux [sur les] contaminants de</w:t>
      </w:r>
      <w:r w:rsidR="00DB2CDF">
        <w:t xml:space="preserve"> </w:t>
      </w:r>
      <w:r>
        <w:t>l’air</w:t>
      </w:r>
      <w:r>
        <w:rPr>
          <w:vertAlign w:val="superscript"/>
        </w:rPr>
        <w:t>21</w:t>
      </w:r>
      <w:r>
        <w:t>». Plus récemment, ce brouillard fut considéré comme l’occa</w:t>
      </w:r>
      <w:r>
        <w:t>sion de la première publication scientifique démontrant la morta</w:t>
      </w:r>
      <w:r>
        <w:t xml:space="preserve">lité et la morbidité associée à la pollution </w:t>
      </w:r>
      <w:r>
        <w:t>atmosphérique</w:t>
      </w:r>
      <w:r>
        <w:rPr>
          <w:vertAlign w:val="superscript"/>
        </w:rPr>
        <w:t>22</w:t>
      </w:r>
      <w:r>
        <w:t>.</w:t>
      </w:r>
    </w:p>
    <w:p w14:paraId="676F6483" w14:textId="06BC54CD" w:rsidR="00641C77" w:rsidRDefault="00EF2A76" w:rsidP="00012F30">
      <w:pPr>
        <w:pStyle w:val="Corpsdutexte20"/>
        <w:shd w:val="clear" w:color="auto" w:fill="auto"/>
        <w:spacing w:after="0"/>
        <w:ind w:firstLine="286"/>
      </w:pPr>
      <w:r>
        <w:t>Ccs récits impliquent un temps linéaire, une fl</w:t>
      </w:r>
      <w:r w:rsidR="00347FA6">
        <w:t>èche d</w:t>
      </w:r>
      <w:r>
        <w:t>u temps</w:t>
      </w:r>
      <w:r w:rsidR="00280E92">
        <w:t>  </w:t>
      </w:r>
      <w:r>
        <w:t>orientée par le dévoilement progressif des problèmes et de leurs</w:t>
      </w:r>
      <w:r w:rsidR="00280E92">
        <w:t>  </w:t>
      </w:r>
      <w:r>
        <w:t>explications. Ils supposent un passé ignorant des causes et des</w:t>
      </w:r>
      <w:r w:rsidR="00280E92">
        <w:t>  </w:t>
      </w:r>
      <w:r>
        <w:t>effets des phénomènes considérés. Ils se focalise</w:t>
      </w:r>
      <w:r>
        <w:t>nt essentiellement</w:t>
      </w:r>
      <w:r w:rsidR="00280E92">
        <w:t>  </w:t>
      </w:r>
      <w:r>
        <w:t>sur les modalités technico-scientifiques de production de connais-</w:t>
      </w:r>
      <w:r w:rsidR="00280E92">
        <w:t>  </w:t>
      </w:r>
      <w:r>
        <w:t>sance et accordent aux experts scientifiques le mérite d’avoir</w:t>
      </w:r>
      <w:r w:rsidR="00280E92">
        <w:t>  </w:t>
      </w:r>
      <w:r>
        <w:t>dévoilé et apporté les preuves nécessaires à leur compréhension.</w:t>
      </w:r>
      <w:r w:rsidR="00280E92">
        <w:t>  </w:t>
      </w:r>
      <w:r>
        <w:t>En cela, ils empruntent une tournure relat</w:t>
      </w:r>
      <w:r>
        <w:t>ivement classique de</w:t>
      </w:r>
      <w:r w:rsidR="00280E92">
        <w:t>  </w:t>
      </w:r>
      <w:r>
        <w:t>l’histoire des sciences</w:t>
      </w:r>
      <w:r>
        <w:rPr>
          <w:vertAlign w:val="superscript"/>
        </w:rPr>
        <w:t>23</w:t>
      </w:r>
      <w:r>
        <w:t xml:space="preserve">. Ainsi considéré, ce brouillard </w:t>
      </w:r>
      <w:r>
        <w:lastRenderedPageBreak/>
        <w:t>n’aurait</w:t>
      </w:r>
      <w:r w:rsidR="00280E92">
        <w:t>  </w:t>
      </w:r>
      <w:r>
        <w:t>rien d’autre à nous dire que de célébrer l’oc</w:t>
      </w:r>
      <w:r w:rsidR="00347FA6">
        <w:t>cas</w:t>
      </w:r>
      <w:r>
        <w:t>ion qu’il fut de la</w:t>
      </w:r>
      <w:r w:rsidR="00280E92">
        <w:t>  </w:t>
      </w:r>
      <w:r>
        <w:t>première démonstration scientifique de la mortalité de la pollu</w:t>
      </w:r>
      <w:r>
        <w:t>tion atmosphérique. Il indiquerait</w:t>
      </w:r>
      <w:r>
        <w:t xml:space="preserve"> un point où quelque chose de</w:t>
      </w:r>
      <w:r w:rsidR="00280E92">
        <w:t>  </w:t>
      </w:r>
      <w:r>
        <w:t>nouveau serait survenu dans l’ordre des savoirs. L’énoncé «la pollu</w:t>
      </w:r>
      <w:r>
        <w:t>tion de l’atmosphère tue» est désormais plausible, soutenu par un</w:t>
      </w:r>
      <w:r w:rsidR="00280E92">
        <w:t>  </w:t>
      </w:r>
      <w:r>
        <w:t>précédent et appuyé par une démonstration scientifique. C’est déjà</w:t>
      </w:r>
      <w:r w:rsidR="00280E92">
        <w:t>  </w:t>
      </w:r>
      <w:r>
        <w:t xml:space="preserve">beaucoup, mais ce n’est </w:t>
      </w:r>
      <w:r>
        <w:t>pas suffisant.</w:t>
      </w:r>
    </w:p>
    <w:p w14:paraId="376FECCD" w14:textId="27E8A06E" w:rsidR="00641C77" w:rsidRDefault="00EF2A76" w:rsidP="00012F30">
      <w:pPr>
        <w:pStyle w:val="Corpsdutexte20"/>
        <w:shd w:val="clear" w:color="auto" w:fill="auto"/>
        <w:spacing w:after="0"/>
        <w:ind w:firstLine="286"/>
      </w:pPr>
      <w:r>
        <w:t xml:space="preserve">Ces récits laissent dans </w:t>
      </w:r>
      <w:r w:rsidR="00347FA6">
        <w:t>l’</w:t>
      </w:r>
      <w:r>
        <w:t>ombre le terrain conflictuel à partir</w:t>
      </w:r>
      <w:r w:rsidR="00280E92">
        <w:t>  </w:t>
      </w:r>
      <w:r>
        <w:t>duquel l’expertise initiale s’est façonnée, les récits qui débordent</w:t>
      </w:r>
      <w:r w:rsidR="00280E92">
        <w:t>  </w:t>
      </w:r>
      <w:r>
        <w:t>le cadre qu’elle a emprunté, le déni premier de l’administration de</w:t>
      </w:r>
      <w:r w:rsidR="00280E92">
        <w:t>  </w:t>
      </w:r>
      <w:r>
        <w:t>l’hygiène auquel elle fait suite, la su</w:t>
      </w:r>
      <w:r>
        <w:t>pposant indemne des rapports</w:t>
      </w:r>
      <w:r w:rsidR="00280E92">
        <w:t>  </w:t>
      </w:r>
      <w:r>
        <w:t>de force et des tensions du milieu duquel elle a émergé. Or, comme</w:t>
      </w:r>
      <w:r w:rsidR="00280E92">
        <w:t>  </w:t>
      </w:r>
      <w:r>
        <w:t xml:space="preserve">les pages qui suivent tendent à le démontrer, </w:t>
      </w:r>
      <w:r>
        <w:rPr>
          <w:rStyle w:val="Corpsdutexte2Italique"/>
        </w:rPr>
        <w:t>ce</w:t>
      </w:r>
      <w:r>
        <w:t xml:space="preserve"> n’était pas la pre</w:t>
      </w:r>
      <w:r>
        <w:t>mière fois que la pollution de l’air tuait. Comment comprendre</w:t>
      </w:r>
      <w:r w:rsidR="00280E92">
        <w:t>  </w:t>
      </w:r>
      <w:r>
        <w:t>dès lors que ce brouillard a</w:t>
      </w:r>
      <w:r>
        <w:t>it bien failli ne pas dépasser le stade de</w:t>
      </w:r>
      <w:r w:rsidR="00280E92">
        <w:t>  </w:t>
      </w:r>
      <w:r>
        <w:t xml:space="preserve">l’incident météorologique? Pourquoi a-t-il fallu attendre </w:t>
      </w:r>
      <w:r>
        <w:rPr>
          <w:rStyle w:val="Corpsdutexte2Italique"/>
        </w:rPr>
        <w:t>ce</w:t>
      </w:r>
      <w:r>
        <w:t xml:space="preserve"> brouil</w:t>
      </w:r>
      <w:r>
        <w:t xml:space="preserve">lard et </w:t>
      </w:r>
      <w:r>
        <w:rPr>
          <w:rStyle w:val="Corpsdutexte2Italique"/>
        </w:rPr>
        <w:t>ces</w:t>
      </w:r>
      <w:r>
        <w:t xml:space="preserve"> experts pour en permettre la démonstration ? Pourquoi</w:t>
      </w:r>
      <w:r w:rsidR="00280E92">
        <w:t>  </w:t>
      </w:r>
      <w:r>
        <w:t>les corps des victimes, mortes et souffrantes, ne suffirent-ils pas?</w:t>
      </w:r>
      <w:r w:rsidR="00280E92">
        <w:t>  </w:t>
      </w:r>
      <w:r>
        <w:t xml:space="preserve">Pourquoi </w:t>
      </w:r>
      <w:r>
        <w:t xml:space="preserve">eurent-ils besoin d’experts, de </w:t>
      </w:r>
      <w:r>
        <w:rPr>
          <w:rStyle w:val="Corpsdutexte2Italique"/>
        </w:rPr>
        <w:t>ces</w:t>
      </w:r>
      <w:r>
        <w:t xml:space="preserve"> experts pour que les</w:t>
      </w:r>
      <w:r w:rsidR="00280E92">
        <w:t>  </w:t>
      </w:r>
      <w:r>
        <w:t>émanations de l’industrie présentes dans la vallée soient officiell</w:t>
      </w:r>
      <w:r w:rsidR="00347FA6">
        <w:t>em</w:t>
      </w:r>
      <w:r>
        <w:t>ent (bien que partiellement) mises en cause et que ce brouillard</w:t>
      </w:r>
      <w:r w:rsidR="00280E92">
        <w:t>  </w:t>
      </w:r>
      <w:r>
        <w:t>entre dans l’histoire? Pourquoi encore, cette démonstration une</w:t>
      </w:r>
      <w:r w:rsidR="00280E92">
        <w:t>  </w:t>
      </w:r>
      <w:r>
        <w:t>fois effectuée, n’a-t-elle pas suffi à en éviter la reproduction, aussi</w:t>
      </w:r>
      <w:r w:rsidR="00280E92">
        <w:t>  </w:t>
      </w:r>
      <w:r>
        <w:t>bien dans la vallée qu’en d’autres lieux, à d’autre échelles et selon</w:t>
      </w:r>
      <w:r w:rsidR="00280E92">
        <w:t>  </w:t>
      </w:r>
      <w:r>
        <w:t>d’autres modalités? Pour répondre à ces questions, il est néces</w:t>
      </w:r>
      <w:r>
        <w:t>saire de rouvrir l’enquête.</w:t>
      </w:r>
    </w:p>
    <w:p w14:paraId="2F45C765" w14:textId="5B226191" w:rsidR="00257CCB" w:rsidRDefault="00EF2A76" w:rsidP="00012F30">
      <w:pPr>
        <w:pStyle w:val="Corpsdutexte20"/>
        <w:shd w:val="clear" w:color="auto" w:fill="auto"/>
        <w:spacing w:after="0"/>
      </w:pPr>
      <w:r>
        <w:t>Par où commencer? Une des premières opérations à effectuer</w:t>
      </w:r>
      <w:r w:rsidR="00280E92">
        <w:t>  </w:t>
      </w:r>
      <w:r>
        <w:t>pour rouvrir l’enquête peut consister à se saisir des conclusions de</w:t>
      </w:r>
      <w:r w:rsidR="00280E92">
        <w:t>  </w:t>
      </w:r>
      <w:r>
        <w:t>l’expertise judiciaire (ce récit initial qui dresse les contours de tous</w:t>
      </w:r>
      <w:r w:rsidR="00257CCB">
        <w:t xml:space="preserve"> </w:t>
      </w:r>
      <w:r w:rsidR="00257CCB">
        <w:t>les récits qui lui ont fait suite), à interroger le cadre qui a déterminé</w:t>
      </w:r>
      <w:r w:rsidR="00280E92">
        <w:t>  </w:t>
      </w:r>
      <w:r w:rsidR="00257CCB">
        <w:t>sa forme et son contenu, à les ramener aux pratiques mobilisées</w:t>
      </w:r>
      <w:r w:rsidR="00280E92">
        <w:t>  </w:t>
      </w:r>
      <w:r w:rsidR="00257CCB">
        <w:t xml:space="preserve">pour les établir, à les replonger dans le milieu où elles se sont formées et </w:t>
      </w:r>
      <w:r w:rsidR="00257CCB">
        <w:rPr>
          <w:rStyle w:val="Corpsdutexte210pt"/>
        </w:rPr>
        <w:t xml:space="preserve">à </w:t>
      </w:r>
      <w:r w:rsidR="00257CCB">
        <w:t>interroger la légitimité des acteurs qui les ont façonnées.</w:t>
      </w:r>
      <w:r w:rsidR="00280E92">
        <w:t>  </w:t>
      </w:r>
      <w:r w:rsidR="00257CCB">
        <w:t>Comment le déni initial de l’administration de l’hygiène a-t-il été</w:t>
      </w:r>
      <w:r w:rsidR="00280E92">
        <w:t>  </w:t>
      </w:r>
      <w:r w:rsidR="00257CCB">
        <w:t>surmonté? Comment les enquêteurs ont-ils procédé? Qu’ont-ils vu</w:t>
      </w:r>
      <w:r w:rsidR="00280E92">
        <w:t>  </w:t>
      </w:r>
      <w:r w:rsidR="00257CCB">
        <w:t>ou jugé légitime de voir et de relever ? Qu’est-ce qui, au contraire, est</w:t>
      </w:r>
      <w:r w:rsidR="00280E92">
        <w:t>  </w:t>
      </w:r>
      <w:r w:rsidR="00257CCB">
        <w:t>demeuré invisible ou a été exclu par ces derniers? Autrement dit,</w:t>
      </w:r>
      <w:r w:rsidR="00280E92">
        <w:t>  </w:t>
      </w:r>
      <w:r w:rsidR="00257CCB">
        <w:t>qu’ont-ils pris ou non en considération et comment cette sélection</w:t>
      </w:r>
      <w:r w:rsidR="00280E92">
        <w:t>  </w:t>
      </w:r>
      <w:r w:rsidR="00257CCB">
        <w:t>a-t-elle été déterminée et justifiée? Enfin, comment les résultats de</w:t>
      </w:r>
      <w:r w:rsidR="00280E92">
        <w:t>  </w:t>
      </w:r>
      <w:r w:rsidR="00257CCB">
        <w:t>cette enquête ont-ils (etc) orienté(s), informé(s) et contraint(s) (par)</w:t>
      </w:r>
      <w:r w:rsidR="00280E92">
        <w:t>  </w:t>
      </w:r>
      <w:r w:rsidR="00257CCB">
        <w:t>la réponse des autorités politiques et administratives? Si l’exper</w:t>
      </w:r>
      <w:r w:rsidR="00347FA6">
        <w:t>t</w:t>
      </w:r>
      <w:r w:rsidR="00257CCB">
        <w:t>tise n’est pas indemne des circonstances dans lesquelles elle s’est</w:t>
      </w:r>
      <w:r w:rsidR="00280E92">
        <w:t>  </w:t>
      </w:r>
      <w:r w:rsidR="00257CCB">
        <w:t>déployée, ces circonstances subissent en retour les effets de ses pratiques et de ses résultats. Il faudra dès lors être attentif à la manière</w:t>
      </w:r>
      <w:r w:rsidR="00280E92">
        <w:t>  </w:t>
      </w:r>
      <w:r w:rsidR="00257CCB">
        <w:t xml:space="preserve">dont l’explicitation par les experts de la </w:t>
      </w:r>
      <w:r w:rsidR="00257CCB">
        <w:rPr>
          <w:rStyle w:val="Corpsdutexte2Italique"/>
        </w:rPr>
        <w:t>nature</w:t>
      </w:r>
      <w:r w:rsidR="00257CCB">
        <w:t xml:space="preserve"> du brouillard mortel</w:t>
      </w:r>
      <w:r w:rsidR="00280E92">
        <w:t>  </w:t>
      </w:r>
      <w:r w:rsidR="00257CCB">
        <w:t xml:space="preserve">a mis en jeu, reconduit et réaffirmé une légitimité différenciée </w:t>
      </w:r>
      <w:r w:rsidR="00257CCB">
        <w:lastRenderedPageBreak/>
        <w:t>des</w:t>
      </w:r>
      <w:r w:rsidR="00280E92">
        <w:t>  </w:t>
      </w:r>
      <w:r w:rsidR="00257CCB">
        <w:t>acteurs à en parler, en même temps qu’une distribution relative des</w:t>
      </w:r>
      <w:r w:rsidR="00280E92">
        <w:t>  </w:t>
      </w:r>
      <w:r w:rsidR="00257CCB">
        <w:t>perceptions et des éléments jugés pertinents à sa compréhension.</w:t>
      </w:r>
    </w:p>
    <w:p w14:paraId="3BEF0B04" w14:textId="20D795F9" w:rsidR="00257CCB" w:rsidRDefault="00257CCB" w:rsidP="00012F30">
      <w:pPr>
        <w:pStyle w:val="Corpsdutexte20"/>
        <w:shd w:val="clear" w:color="auto" w:fill="auto"/>
        <w:spacing w:after="0"/>
        <w:ind w:firstLine="218"/>
      </w:pPr>
      <w:r>
        <w:t>Ces questions et cette approche mettent en suspens l’idée selon</w:t>
      </w:r>
      <w:r w:rsidR="00280E92">
        <w:t>  </w:t>
      </w:r>
      <w:r>
        <w:t>laquelle l’expertise participerait d’un simple «dévoilement» (neutre</w:t>
      </w:r>
      <w:r w:rsidR="00280E92">
        <w:t>  </w:t>
      </w:r>
      <w:r>
        <w:t>et objectif) d’une situation préalablemen</w:t>
      </w:r>
      <w:r w:rsidR="00012F30">
        <w:t>t obscure ou indétermi</w:t>
      </w:r>
      <w:r w:rsidR="00347FA6">
        <w:t>n</w:t>
      </w:r>
      <w:r>
        <w:t>ée. La pratique experte répond à une commande. Elle est une</w:t>
      </w:r>
      <w:r w:rsidR="00280E92">
        <w:t>  </w:t>
      </w:r>
      <w:r>
        <w:t>activité de médiation entre science et politique, ou entre science et</w:t>
      </w:r>
      <w:r w:rsidR="00280E92">
        <w:t>  </w:t>
      </w:r>
      <w:r>
        <w:t>justice. Elle s’articule à un processus décisionnel ou d’imputation</w:t>
      </w:r>
      <w:r w:rsidR="00280E92">
        <w:t>  </w:t>
      </w:r>
      <w:r>
        <w:t>des responsabilités - ses commanditaires attendent de ses conclusions qu’elles informent leur décision ou leur jugement</w:t>
      </w:r>
      <w:r>
        <w:rPr>
          <w:vertAlign w:val="superscript"/>
        </w:rPr>
        <w:t>24</w:t>
      </w:r>
      <w:r>
        <w:t>. Pour ce</w:t>
      </w:r>
      <w:r w:rsidR="00280E92">
        <w:t>  </w:t>
      </w:r>
      <w:r>
        <w:t>faire, clic filtre, opère des découpes, cadre et simplifie la situation</w:t>
      </w:r>
      <w:r w:rsidR="00280E92">
        <w:t>  </w:t>
      </w:r>
      <w:r>
        <w:t>qù’elle a pour tâche d’expliciter, afin d’en dégager les éléments qui</w:t>
      </w:r>
      <w:r w:rsidR="00280E92">
        <w:t>  </w:t>
      </w:r>
      <w:r>
        <w:t>Lüi semblent déterminants. Elle procède donc de choix qui, s’ils</w:t>
      </w:r>
      <w:r w:rsidR="00280E92">
        <w:t>  </w:t>
      </w:r>
      <w:r>
        <w:t>«ont étayés, n’ont pour autant rien d’évident ni d’absolu. Par consé-</w:t>
      </w:r>
      <w:r w:rsidR="00280E92">
        <w:t>  </w:t>
      </w:r>
      <w:r>
        <w:t>quent, les énoncés et les connaissances qu’elle produit sont relatifs</w:t>
      </w:r>
      <w:r w:rsidR="00280E92">
        <w:t>  </w:t>
      </w:r>
      <w:r>
        <w:t>; et partiels et ne peuvent prétendre épuiser ou épouser entièrement</w:t>
      </w:r>
      <w:r w:rsidR="00280E92">
        <w:t>  </w:t>
      </w:r>
      <w:r>
        <w:rPr>
          <w:rStyle w:val="Corpsdutexte2Petitesmajuscules"/>
        </w:rPr>
        <w:t>î</w:t>
      </w:r>
      <w:r>
        <w:t xml:space="preserve"> cette situation. Au contraire, l’expertise laisse immanquablement</w:t>
      </w:r>
      <w:r w:rsidR="00280E92">
        <w:t>  </w:t>
      </w:r>
      <w:r>
        <w:t>certains éléments de cette dernière dans l’ombre, les jugeant négligeables ou difficiles à intégrer à l'enquête. Ces points ne désignent</w:t>
      </w:r>
      <w:r w:rsidR="00280E92">
        <w:t>  </w:t>
      </w:r>
      <w:r>
        <w:t>toutefois pas un défaut de l’expertise, qu’il s'agirait de rectifier en</w:t>
      </w:r>
      <w:r w:rsidR="00280E92">
        <w:t>  </w:t>
      </w:r>
      <w:r>
        <w:t>la ramenant au plus près de conditions plus «objectives», «pures»</w:t>
      </w:r>
      <w:r w:rsidR="00280E92">
        <w:t>  </w:t>
      </w:r>
      <w:r>
        <w:t>ou «neutres». Certainement est-il difficile de rendre parfaitement</w:t>
      </w:r>
      <w:r w:rsidR="00280E92">
        <w:t>  </w:t>
      </w:r>
      <w:r>
        <w:t>intelligible une situation qui par sa nature implique d’inno</w:t>
      </w:r>
      <w:r w:rsidR="00347FA6">
        <w:t>mb</w:t>
      </w:r>
      <w:r>
        <w:t>rables facteurs et dont les relations avec l’objet de l’enquête sont</w:t>
      </w:r>
      <w:r>
        <w:t xml:space="preserve"> </w:t>
      </w:r>
      <w:r>
        <w:t xml:space="preserve">parfois difficilement appréhendables. Ceci tend à </w:t>
      </w:r>
      <w:r>
        <w:rPr>
          <w:rStyle w:val="Corpsdutexte2Italique"/>
        </w:rPr>
        <w:t>relativiser</w:t>
      </w:r>
      <w:r>
        <w:t xml:space="preserve"> ou à</w:t>
      </w:r>
      <w:r w:rsidR="00280E92">
        <w:t>  </w:t>
      </w:r>
      <w:r>
        <w:rPr>
          <w:rStyle w:val="Corpsdutexte2Italique"/>
        </w:rPr>
        <w:t>limiter</w:t>
      </w:r>
      <w:r>
        <w:t xml:space="preserve"> la portée de l’expertise. Car tandis qu’elle identifie certains</w:t>
      </w:r>
      <w:r w:rsidR="00280E92">
        <w:t>  </w:t>
      </w:r>
      <w:r>
        <w:t>facteurs et certaines relations, les rend visibles et déterminants,</w:t>
      </w:r>
      <w:r w:rsidR="00280E92">
        <w:t>  </w:t>
      </w:r>
      <w:r>
        <w:t>elle en invisibilise d’autres, les rendant insignifiants. Faire voir</w:t>
      </w:r>
      <w:r w:rsidR="00280E92">
        <w:t>  </w:t>
      </w:r>
      <w:r>
        <w:t>/c’est immanquablement laisser dans l’ombre. En ce sens, toute</w:t>
      </w:r>
      <w:r w:rsidR="00280E92">
        <w:t>  </w:t>
      </w:r>
      <w:r>
        <w:t>/ production de connaissance experte s’accompagne d’une production corolaire d'ignorance</w:t>
      </w:r>
      <w:r>
        <w:rPr>
          <w:vertAlign w:val="superscript"/>
        </w:rPr>
        <w:t>25</w:t>
      </w:r>
      <w:r>
        <w:t>, ce qui rend l’expertise, ses conditions</w:t>
      </w:r>
      <w:r w:rsidR="00280E92">
        <w:t>  </w:t>
      </w:r>
      <w:r>
        <w:t>de production, ses choix implicites ou explicites, ses conclusions et</w:t>
      </w:r>
      <w:r w:rsidR="00280E92">
        <w:t>  </w:t>
      </w:r>
      <w:r>
        <w:t xml:space="preserve">les décisions subséquentes, éminemment </w:t>
      </w:r>
      <w:r>
        <w:rPr>
          <w:rStyle w:val="Corpsdutexte2Italique"/>
        </w:rPr>
        <w:t>discutables.</w:t>
      </w:r>
    </w:p>
    <w:p w14:paraId="3EA72D5E" w14:textId="1DFF100E" w:rsidR="00257CCB" w:rsidRDefault="00257CCB" w:rsidP="00012F30">
      <w:pPr>
        <w:pStyle w:val="Corpsdutexte20"/>
        <w:shd w:val="clear" w:color="auto" w:fill="auto"/>
        <w:spacing w:after="0"/>
        <w:ind w:firstLine="322"/>
      </w:pPr>
      <w:r>
        <w:t>Mais le seul recoure au temps relativement court des enquêtes</w:t>
      </w:r>
      <w:r w:rsidR="00280E92">
        <w:t>  </w:t>
      </w:r>
      <w:r>
        <w:t>et des décisions politiques qui font suite au brouillard de 1930</w:t>
      </w:r>
      <w:r w:rsidR="00280E92">
        <w:t>  </w:t>
      </w:r>
      <w:r>
        <w:t>n'est pas suffisant. Le cadre par lequel la catastrophe du brouillard</w:t>
      </w:r>
      <w:r w:rsidR="00280E92">
        <w:t>  </w:t>
      </w:r>
      <w:r>
        <w:t>mortel de la vallée de la Meuse fut appréhendée puis définie est le</w:t>
      </w:r>
      <w:r w:rsidR="00280E92">
        <w:t>  </w:t>
      </w:r>
      <w:r>
        <w:t>fruit d’une histoire, de la cristallisation et de la sédimentation progressive de manières de faire et de dire. Historiquement, des institutions, des acteurs, des pratiques et des savoirs se constituèrent</w:t>
      </w:r>
      <w:r w:rsidR="00280E92">
        <w:t>  </w:t>
      </w:r>
      <w:r>
        <w:t>ou se substituèrent à d’autres pour rendre compte des relations</w:t>
      </w:r>
      <w:r w:rsidR="00280E92">
        <w:t>  </w:t>
      </w:r>
      <w:r>
        <w:t>qu’entretiennent les corps aux environnements industrialisés. Ces</w:t>
      </w:r>
      <w:r w:rsidR="00280E92">
        <w:t>  </w:t>
      </w:r>
      <w:r>
        <w:t>assemblages - d’institutions, d’acteurs, de pratiques et de savoirs -</w:t>
      </w:r>
      <w:r w:rsidR="00280E92">
        <w:t>  </w:t>
      </w:r>
      <w:r>
        <w:t>favorisèrent, au détriment d’autres, des modes d’appréhension des</w:t>
      </w:r>
      <w:r w:rsidR="00280E92">
        <w:t>  </w:t>
      </w:r>
      <w:r>
        <w:t>transformations environnementales et sanitaires engendrées par</w:t>
      </w:r>
      <w:r w:rsidR="00280E92">
        <w:t>  </w:t>
      </w:r>
      <w:r>
        <w:t xml:space="preserve">l’industrialisation des territoires. La relativité </w:t>
      </w:r>
      <w:r>
        <w:lastRenderedPageBreak/>
        <w:t>circonstanciée de</w:t>
      </w:r>
      <w:r w:rsidR="00280E92">
        <w:t>  </w:t>
      </w:r>
      <w:r>
        <w:t xml:space="preserve">l’expertise mentionnée plus haut se redouble ici d’une relativité historique et structurelle. Comment </w:t>
      </w:r>
      <w:r w:rsidR="00347FA6">
        <w:t>ces</w:t>
      </w:r>
      <w:r>
        <w:t xml:space="preserve"> assemblages se sont formés?</w:t>
      </w:r>
      <w:r w:rsidR="00280E92">
        <w:t>  </w:t>
      </w:r>
      <w:r>
        <w:t>Pourquoi tels types d'acteurs ou de pratiques s’imposèrent, furent</w:t>
      </w:r>
      <w:r w:rsidR="00280E92">
        <w:t>  </w:t>
      </w:r>
      <w:r>
        <w:t>favorisés ou préférés à d’autres? Quels types de savoirs y furent</w:t>
      </w:r>
      <w:r w:rsidR="00280E92">
        <w:t>  </w:t>
      </w:r>
      <w:r>
        <w:t>jugés pertinents ou furent spécifiquement produits pour rendre</w:t>
      </w:r>
      <w:r w:rsidR="00280E92">
        <w:t>  </w:t>
      </w:r>
      <w:r>
        <w:t>compte de ces transformations ? Comment ces assemblages ont-ils</w:t>
      </w:r>
      <w:r w:rsidR="00280E92">
        <w:t>  </w:t>
      </w:r>
      <w:r>
        <w:t>participé d’une certaine forme de gouvernement de l’industrialisation, qui, en 1930 et dans la vallée de la Meuse tout du moins, aboutit</w:t>
      </w:r>
      <w:r w:rsidR="00280E92">
        <w:t>  </w:t>
      </w:r>
      <w:r>
        <w:t>à la production d’un brouillard toxique? De manière cette fois plus</w:t>
      </w:r>
      <w:r w:rsidR="00280E92">
        <w:t>  </w:t>
      </w:r>
      <w:r>
        <w:t>générale, comme pour l’expertise, les savoirs ne sont pas indemnes</w:t>
      </w:r>
      <w:r w:rsidR="00280E92">
        <w:t>  </w:t>
      </w:r>
      <w:r>
        <w:t>des circonstances dans lesquelles ils sont produits. Les formes d’intelligibilité qu’ils favorisent en minorent d’autres. Historiquement,</w:t>
      </w:r>
      <w:r w:rsidR="00280E92">
        <w:t>  </w:t>
      </w:r>
      <w:r>
        <w:t>les savoirs qui formèrent la matrice d’appréhension des effets des</w:t>
      </w:r>
      <w:r w:rsidR="00280E92">
        <w:t>  </w:t>
      </w:r>
      <w:r>
        <w:t>pollutions industrielles prirent la place de savoirs qui accordaient</w:t>
      </w:r>
      <w:r w:rsidR="00280E92">
        <w:t>  </w:t>
      </w:r>
      <w:r>
        <w:t>davantage d'attention aux transformations réciproques des corps</w:t>
      </w:r>
      <w:r w:rsidR="00280E92">
        <w:t>  </w:t>
      </w:r>
      <w:r>
        <w:t>et des environnements. Ils s’imposèrent dans un contexte institutionnel qui, en même temps qu’il en faisait la promotion, encourageait fermement l’industrialisation des territoires</w:t>
      </w:r>
      <w:r>
        <w:rPr>
          <w:vertAlign w:val="superscript"/>
        </w:rPr>
        <w:t>26</w:t>
      </w:r>
      <w:r>
        <w:t>. Ce processus,</w:t>
      </w:r>
      <w:r w:rsidR="00280E92">
        <w:t>  </w:t>
      </w:r>
      <w:r>
        <w:t>décrit par des travaux historiques récents, fait dire que plutôt que</w:t>
      </w:r>
      <w:r>
        <w:t xml:space="preserve"> </w:t>
      </w:r>
      <w:r>
        <w:t>de faire l'histoire d une lente «prise de conscience» contemporaine</w:t>
      </w:r>
      <w:r w:rsidR="00280E92">
        <w:t>  </w:t>
      </w:r>
      <w:r>
        <w:t>du désastre écologique engendré par le développement technologique et industriel de nos sociétés occidentales, il est plus pertinent</w:t>
      </w:r>
      <w:r w:rsidR="00280E92">
        <w:t>  </w:t>
      </w:r>
      <w:r>
        <w:rPr>
          <w:rStyle w:val="Corpsdutexte2Italique"/>
        </w:rPr>
        <w:t>[</w:t>
      </w:r>
      <w:r>
        <w:t xml:space="preserve"> de faire celle d’une production historique (scientifique et politique]</w:t>
      </w:r>
      <w:r w:rsidR="00012F30">
        <w:t xml:space="preserve"> </w:t>
      </w:r>
      <w:r>
        <w:t>d'une certaine «inconscience» modernisatrice. «Les sociétés passées n'ont pas massivement alté</w:t>
      </w:r>
      <w:r w:rsidR="00012F30">
        <w:t>ré leur environnement par inad</w:t>
      </w:r>
      <w:r>
        <w:t>vertance, ni sans considérer, parfois avec effroi, les conséquences</w:t>
      </w:r>
      <w:r w:rsidR="00280E92">
        <w:t>  </w:t>
      </w:r>
      <w:r>
        <w:t>de leurs décisions. La confiance n’allait pas de soi et il a fallu pr</w:t>
      </w:r>
      <w:r w:rsidR="00347FA6">
        <w:t>od</w:t>
      </w:r>
      <w:r>
        <w:t>uire sur chaque point stratégique et conflictuel de la modernité, de l'ignorance et/ou de la connaissance désinhibitrice</w:t>
      </w:r>
      <w:r>
        <w:rPr>
          <w:vertAlign w:val="superscript"/>
        </w:rPr>
        <w:t>27</w:t>
      </w:r>
      <w:r>
        <w:t>.» Les</w:t>
      </w:r>
      <w:r w:rsidR="00280E92">
        <w:t>  </w:t>
      </w:r>
      <w:r>
        <w:t>savoirs scientifiques et experts ne se contentent pas de dévoiler une</w:t>
      </w:r>
      <w:r w:rsidR="00280E92">
        <w:t>  </w:t>
      </w:r>
      <w:r>
        <w:t xml:space="preserve">réalité qui les précède. Ils participent activement </w:t>
      </w:r>
      <w:r>
        <w:rPr>
          <w:rStyle w:val="Corpsdutexte210pt"/>
        </w:rPr>
        <w:t xml:space="preserve">à </w:t>
      </w:r>
      <w:r>
        <w:t>la produire et</w:t>
      </w:r>
      <w:r w:rsidR="00280E92">
        <w:t>  </w:t>
      </w:r>
      <w:r>
        <w:t>à déterminer les modalités d'action susceptibles de s’en dégager.</w:t>
      </w:r>
      <w:r w:rsidR="00280E92">
        <w:t>  </w:t>
      </w:r>
      <w:r>
        <w:rPr>
          <w:rStyle w:val="Corpsdutexte295ptEspacement1ptchelle75"/>
          <w:b w:val="0"/>
          <w:bCs w:val="0"/>
        </w:rPr>
        <w:t xml:space="preserve">Il </w:t>
      </w:r>
      <w:r>
        <w:t xml:space="preserve">faut moins chercher alors à vérifier leur adéquation </w:t>
      </w:r>
      <w:r>
        <w:rPr>
          <w:rStyle w:val="Corpsdutexte210pt"/>
        </w:rPr>
        <w:t xml:space="preserve">à </w:t>
      </w:r>
      <w:r>
        <w:t>une quelconque réalité préalable qu’à décrire le milieu qui les forme, qu’à</w:t>
      </w:r>
      <w:r w:rsidR="00280E92">
        <w:t>  </w:t>
      </w:r>
      <w:r>
        <w:t>rendre visibles les évidences, les nécessités et les renoncements</w:t>
      </w:r>
      <w:r w:rsidR="00280E92">
        <w:t>  </w:t>
      </w:r>
      <w:r>
        <w:t>qu’ils reconduisent, ainsi qu’à explorer les effets des descriptions</w:t>
      </w:r>
      <w:r w:rsidR="00280E92">
        <w:t>  </w:t>
      </w:r>
      <w:r>
        <w:t>qu’ils réalisent.</w:t>
      </w:r>
    </w:p>
    <w:p w14:paraId="2E8440AC" w14:textId="21BAAFA2" w:rsidR="00257CCB" w:rsidRDefault="00257CCB" w:rsidP="00012F30">
      <w:pPr>
        <w:pStyle w:val="Corpsdutexte20"/>
        <w:shd w:val="clear" w:color="auto" w:fill="auto"/>
        <w:spacing w:after="0"/>
        <w:ind w:firstLine="322"/>
      </w:pPr>
      <w:r>
        <w:t>Procéder de la sorte, c’est rouvrir la «boîte noire'</w:t>
      </w:r>
      <w:r>
        <w:rPr>
          <w:vertAlign w:val="superscript"/>
        </w:rPr>
        <w:t>1</w:t>
      </w:r>
      <w:r>
        <w:t xml:space="preserve"> de la produc</w:t>
      </w:r>
      <w:r w:rsidR="00347FA6">
        <w:t xml:space="preserve">tion </w:t>
      </w:r>
      <w:r>
        <w:t>des savoirs experts et scientifiques</w:t>
      </w:r>
      <w:r>
        <w:rPr>
          <w:vertAlign w:val="superscript"/>
        </w:rPr>
        <w:t>2</w:t>
      </w:r>
      <w:r>
        <w:t>*, mais c’est aussi prendre</w:t>
      </w:r>
      <w:r w:rsidR="00280E92">
        <w:t>  </w:t>
      </w:r>
      <w:r>
        <w:t>(.parti dans la manière de considérer l’événement catastrophique.</w:t>
      </w:r>
      <w:r w:rsidR="00280E92">
        <w:t>  </w:t>
      </w:r>
      <w:r>
        <w:t>Loin de ne le considérer que sous la seule perspective de son irruption spatialement et temporellement circonscrite, il semble op</w:t>
      </w:r>
      <w:r w:rsidR="00347FA6">
        <w:t xml:space="preserve">portun </w:t>
      </w:r>
      <w:r>
        <w:t xml:space="preserve">de l’envisager sous l'angle </w:t>
      </w:r>
      <w:r>
        <w:rPr>
          <w:rStyle w:val="Corpsdutexte2Italique"/>
        </w:rPr>
        <w:t>d’un processus toujours en cours</w:t>
      </w:r>
      <w:r>
        <w:rPr>
          <w:rStyle w:val="Corpsdutexte2Italique"/>
          <w:vertAlign w:val="superscript"/>
        </w:rPr>
        <w:t>29</w:t>
      </w:r>
      <w:r>
        <w:rPr>
          <w:rStyle w:val="Corpsdutexte2Italique"/>
        </w:rPr>
        <w:t>.</w:t>
      </w:r>
      <w:r w:rsidR="00280E92">
        <w:rPr>
          <w:rStyle w:val="Corpsdutexte2Italique"/>
        </w:rPr>
        <w:t>  </w:t>
      </w:r>
      <w:r>
        <w:t>Le considérer ainsi, c’est tenter de mettre à jour l’accumulation</w:t>
      </w:r>
      <w:r w:rsidR="00280E92">
        <w:t>  </w:t>
      </w:r>
      <w:r>
        <w:t>et la sédimentation de processus, de pratiques et de matières qui</w:t>
      </w:r>
      <w:r w:rsidR="00280E92">
        <w:t>  </w:t>
      </w:r>
      <w:r>
        <w:t>ont conditionné son irruption ou, tout du moins, sans lesquels</w:t>
      </w:r>
      <w:r w:rsidR="00280E92">
        <w:t>  </w:t>
      </w:r>
      <w:r>
        <w:t xml:space="preserve">elle n'aurait pu se produire. Ce point de vue vaut </w:t>
      </w:r>
      <w:r>
        <w:lastRenderedPageBreak/>
        <w:t>aussi bien pour la</w:t>
      </w:r>
      <w:r w:rsidR="00280E92">
        <w:t>  </w:t>
      </w:r>
      <w:r>
        <w:t>catastrophe envisagée dans ses traductions expertes et administratives, que sous l’angle de sa « matérialité»: les transformations des</w:t>
      </w:r>
      <w:r w:rsidR="00280E92">
        <w:t>  </w:t>
      </w:r>
      <w:r>
        <w:t>environnements, des socialités et des corps humains par l’industrialisation du territoire</w:t>
      </w:r>
      <w:r>
        <w:rPr>
          <w:vertAlign w:val="superscript"/>
        </w:rPr>
        <w:t>20</w:t>
      </w:r>
      <w:r>
        <w:t>.</w:t>
      </w:r>
    </w:p>
    <w:p w14:paraId="195D8771" w14:textId="6719D9BD" w:rsidR="00257CCB" w:rsidRDefault="00257CCB" w:rsidP="00012F30">
      <w:pPr>
        <w:pStyle w:val="Corpsdutexte20"/>
        <w:shd w:val="clear" w:color="auto" w:fill="auto"/>
        <w:spacing w:after="0"/>
        <w:ind w:right="260" w:firstLine="53"/>
      </w:pPr>
      <w:r>
        <w:t>Cette perspective nous invite à considérer la construction sur le</w:t>
      </w:r>
      <w:r w:rsidR="00280E92">
        <w:t>  </w:t>
      </w:r>
      <w:r>
        <w:t>long terme des puissances catastrophiques propres à ce territoire -</w:t>
      </w:r>
      <w:r w:rsidR="00280E92">
        <w:t>  </w:t>
      </w:r>
      <w:r>
        <w:t>la faculté ou la capacité de ce dernier à générer des brouillards mortels. Le brouillard en est l'indice, loi</w:t>
      </w:r>
      <w:r w:rsidR="00012F30">
        <w:t xml:space="preserve">n de n’être qu’un simple décor; </w:t>
      </w:r>
      <w:r>
        <w:t>la vallée (et la rivière qui la creuse), les</w:t>
      </w:r>
      <w:r w:rsidR="00012F30">
        <w:t xml:space="preserve"> reliefs qui s’y découpent, les </w:t>
      </w:r>
      <w:r>
        <w:t>sols et les sous-sols qui l’enrichissent, les ven</w:t>
      </w:r>
      <w:r w:rsidR="00012F30">
        <w:t>ts qui s’y engouffrent,</w:t>
      </w:r>
      <w:r>
        <w:t>etc., sont des acteurs à part entière de cette histoire. Leurs puissances propres et les conséquences des transformations industrielles qu’ils subirent pendant plus d’un siècle furent activement</w:t>
      </w:r>
      <w:r>
        <w:t xml:space="preserve"> </w:t>
      </w:r>
      <w:r>
        <w:rPr>
          <w:rStyle w:val="Corpsdutexte2Italique"/>
        </w:rPr>
        <w:t>négligées</w:t>
      </w:r>
      <w:r>
        <w:t xml:space="preserve"> et minorées. Comment l’environnement ou les éléments</w:t>
      </w:r>
      <w:r w:rsidR="00280E92">
        <w:t>  </w:t>
      </w:r>
      <w:r>
        <w:t>du territoire de cette portion de la vallée de la Meuse ont-ils favorisé ou conditionné la production des activités humaines, essentiellement industrielles, qui ont participé à la catastrophe? Quelles</w:t>
      </w:r>
      <w:r w:rsidR="00280E92">
        <w:t>  </w:t>
      </w:r>
      <w:r>
        <w:t>transformations subirent-ils durant l’installation progressive de ces</w:t>
      </w:r>
      <w:r w:rsidR="00280E92">
        <w:t>  </w:t>
      </w:r>
      <w:r>
        <w:t>nouvelles activités? Les éléments du territoire ainsi transformés,</w:t>
      </w:r>
      <w:r w:rsidR="00280E92">
        <w:t>  </w:t>
      </w:r>
      <w:r>
        <w:t>quelles fonctions nouvelles leurs furent-elles affectées? Comment</w:t>
      </w:r>
      <w:r w:rsidR="00280E92">
        <w:t>  </w:t>
      </w:r>
      <w:r>
        <w:t xml:space="preserve">la santé, le corps des hommes, furent-ils, eux aussi, altérés par ces </w:t>
      </w:r>
      <w:r w:rsidR="00012F30">
        <w:t>t</w:t>
      </w:r>
      <w:r>
        <w:t>ransformations</w:t>
      </w:r>
      <w:r>
        <w:rPr>
          <w:vertAlign w:val="superscript"/>
        </w:rPr>
        <w:t>31</w:t>
      </w:r>
      <w:r>
        <w:t xml:space="preserve"> ?</w:t>
      </w:r>
    </w:p>
    <w:p w14:paraId="0EBCA848" w14:textId="0B047973" w:rsidR="00012F30" w:rsidRDefault="00257CCB" w:rsidP="00012F30">
      <w:pPr>
        <w:pStyle w:val="Corpsdutexte20"/>
        <w:shd w:val="clear" w:color="auto" w:fill="auto"/>
        <w:spacing w:after="0"/>
        <w:ind w:firstLine="53"/>
      </w:pPr>
      <w:r>
        <w:t xml:space="preserve">Rouvrir l’enquête ici (produire cette histoire discursive </w:t>
      </w:r>
      <w:r>
        <w:rPr>
          <w:rStyle w:val="Corpsdutexte2Italique"/>
        </w:rPr>
        <w:t>et</w:t>
      </w:r>
      <w:r>
        <w:t xml:space="preserve"> matérielle) consiste à ressaisir les éléments sur lesquels les conclusions</w:t>
      </w:r>
      <w:r w:rsidR="00280E92">
        <w:t>  </w:t>
      </w:r>
      <w:r>
        <w:t>expertes s’appuient ou qu’elles convoquent - la consommation</w:t>
      </w:r>
      <w:r w:rsidR="00280E92">
        <w:t>  </w:t>
      </w:r>
      <w:r>
        <w:t>massive de charbon, une appréhension moléculaire de l’atmos-</w:t>
      </w:r>
      <w:r w:rsidR="00280E92">
        <w:t>  </w:t>
      </w:r>
      <w:r>
        <w:t>phère et des conséquences de son altération sur les corps, la prédis-</w:t>
      </w:r>
      <w:r w:rsidR="00280E92">
        <w:t>  </w:t>
      </w:r>
      <w:r>
        <w:t>position de ces corps à en subir les effets, la longue histoire de la</w:t>
      </w:r>
      <w:r w:rsidR="00280E92">
        <w:t>  </w:t>
      </w:r>
      <w:r>
        <w:t>production de phénomènes météorologiques d’origine industrielle</w:t>
      </w:r>
      <w:r w:rsidR="00280E92">
        <w:t>  </w:t>
      </w:r>
      <w:r>
        <w:t>qui les précède. Mais plutôt que de les considérer dans l’évidence</w:t>
      </w:r>
      <w:r w:rsidR="00280E92">
        <w:t>  </w:t>
      </w:r>
      <w:r>
        <w:t>de leur énonciation, il s’agit de les replonger dans l’histoire qui a</w:t>
      </w:r>
      <w:r w:rsidR="00280E92">
        <w:t>  </w:t>
      </w:r>
      <w:r>
        <w:t>participé à leur production ainsi que de leur progressive naturali-</w:t>
      </w:r>
      <w:r w:rsidR="00280E92">
        <w:t>  </w:t>
      </w:r>
      <w:r>
        <w:t>sation. En d'autres mots, plutôt que de saisir ces éléments comme</w:t>
      </w:r>
      <w:r w:rsidR="00280E92">
        <w:t>  </w:t>
      </w:r>
      <w:r>
        <w:t>des ressources explicatives, il convient de les aborder comme des</w:t>
      </w:r>
      <w:r w:rsidR="00280E92">
        <w:t>  </w:t>
      </w:r>
      <w:r>
        <w:t>choses à expliquer</w:t>
      </w:r>
      <w:r>
        <w:rPr>
          <w:vertAlign w:val="superscript"/>
        </w:rPr>
        <w:t>32</w:t>
      </w:r>
      <w:r>
        <w:t xml:space="preserve">. Les charbons de terre de la fin du </w:t>
      </w:r>
      <w:r w:rsidR="00347FA6">
        <w:t>XVIII</w:t>
      </w:r>
      <w:r>
        <w:t xml:space="preserve"> siècle</w:t>
      </w:r>
      <w:r w:rsidR="00280E92">
        <w:t>  </w:t>
      </w:r>
      <w:r>
        <w:t>n’ont en effet que peu de choses en commun avec «le charbon»,</w:t>
      </w:r>
      <w:r w:rsidR="00280E92">
        <w:t>  </w:t>
      </w:r>
      <w:r>
        <w:t>matière première et source d'énergie, devenu au xix</w:t>
      </w:r>
      <w:r>
        <w:rPr>
          <w:vertAlign w:val="superscript"/>
        </w:rPr>
        <w:t>e</w:t>
      </w:r>
      <w:r>
        <w:t xml:space="preserve"> siècle </w:t>
      </w:r>
      <w:r w:rsidR="00347FA6">
        <w:t>indispensable</w:t>
      </w:r>
      <w:r>
        <w:t xml:space="preserve"> au fonctionnement de la vallée. Les airs multiples, hété</w:t>
      </w:r>
      <w:r w:rsidR="00347FA6">
        <w:t>rogènes e</w:t>
      </w:r>
      <w:r>
        <w:t>t agissants de l’Ancien régime n’ont quant à eux pas j</w:t>
      </w:r>
      <w:r w:rsidR="00280E92">
        <w:t>  </w:t>
      </w:r>
      <w:r>
        <w:t xml:space="preserve">grand-chose à voir avec l’atmosphère universelle (fond homogène </w:t>
      </w:r>
      <w:r w:rsidR="00347FA6">
        <w:t>et i</w:t>
      </w:r>
      <w:r>
        <w:t>ndifférencié aux proportions d’oxygène, d’azote et de dioxyde de S</w:t>
      </w:r>
      <w:r w:rsidR="00280E92">
        <w:t>  </w:t>
      </w:r>
      <w:r>
        <w:t>carbone relativement stables) produite par l’élite savante au cours</w:t>
      </w:r>
      <w:r w:rsidR="00280E92">
        <w:t>  </w:t>
      </w:r>
      <w:r>
        <w:t>de ce même xix</w:t>
      </w:r>
      <w:r>
        <w:rPr>
          <w:vertAlign w:val="superscript"/>
        </w:rPr>
        <w:t>e</w:t>
      </w:r>
      <w:r>
        <w:t xml:space="preserve"> siècle</w:t>
      </w:r>
      <w:r>
        <w:rPr>
          <w:vertAlign w:val="superscript"/>
        </w:rPr>
        <w:t>33</w:t>
      </w:r>
      <w:r>
        <w:t>. Les relations qu’entretenaient, à la fin du</w:t>
      </w:r>
      <w:r w:rsidR="00280E92">
        <w:t>  </w:t>
      </w:r>
      <w:r w:rsidR="00347FA6">
        <w:t>XV</w:t>
      </w:r>
      <w:r>
        <w:rPr>
          <w:vertAlign w:val="superscript"/>
        </w:rPr>
        <w:t>e</w:t>
      </w:r>
      <w:r>
        <w:t xml:space="preserve"> siècle, les corps des artisans et de ceux vivant dans </w:t>
      </w:r>
      <w:r w:rsidR="00347FA6">
        <w:t>la</w:t>
      </w:r>
      <w:r>
        <w:t xml:space="preserve"> vallée</w:t>
      </w:r>
      <w:r w:rsidR="00280E92">
        <w:t>  </w:t>
      </w:r>
      <w:r>
        <w:t>avec leur environnement ainsi que les transformations réciproques</w:t>
      </w:r>
      <w:r w:rsidR="00280E92">
        <w:t>  </w:t>
      </w:r>
      <w:r>
        <w:t>qu’elles impliquaient, sont bien différentes de celles qui se sont</w:t>
      </w:r>
      <w:r w:rsidR="00280E92">
        <w:t>  </w:t>
      </w:r>
      <w:r>
        <w:t xml:space="preserve">établies </w:t>
      </w:r>
      <w:r>
        <w:lastRenderedPageBreak/>
        <w:t>progressivement au contact du nouveau monde indus-</w:t>
      </w:r>
      <w:r w:rsidR="00280E92">
        <w:t>  </w:t>
      </w:r>
      <w:r>
        <w:t>triel. Comment ces transformations se sont-elles opérées? Quelles</w:t>
      </w:r>
      <w:r w:rsidR="00280E92">
        <w:t>  </w:t>
      </w:r>
      <w:r>
        <w:t>mutations d’emblée discursives et matérielles y furent à l’œuvre?</w:t>
      </w:r>
      <w:r w:rsidR="00280E92">
        <w:t>  </w:t>
      </w:r>
      <w:r>
        <w:t>Comment furent-elles décisives à la production de brouillards</w:t>
      </w:r>
      <w:r w:rsidR="00280E92">
        <w:t>  </w:t>
      </w:r>
      <w:r>
        <w:t xml:space="preserve">toxiques et mortels? Il s’agit alors de rendre compte de </w:t>
      </w:r>
      <w:r>
        <w:rPr>
          <w:rStyle w:val="Corpsdutexte2Italique"/>
        </w:rPr>
        <w:t>l’historicité</w:t>
      </w:r>
      <w:r w:rsidR="00280E92">
        <w:rPr>
          <w:rStyle w:val="Corpsdutexte2Italique"/>
        </w:rPr>
        <w:t>  </w:t>
      </w:r>
      <w:r>
        <w:t>des corps et des choses. Une historicité que les savoirs scientifiques</w:t>
      </w:r>
      <w:r w:rsidR="00280E92">
        <w:t>  </w:t>
      </w:r>
      <w:r>
        <w:t>ont tendance à leur dénier. Comme nous l’enseigne bon nombre</w:t>
      </w:r>
      <w:r w:rsidR="00280E92">
        <w:t>  </w:t>
      </w:r>
      <w:r>
        <w:t>d’approches en sciences humaines, il n’y a pas d’un côté la nature</w:t>
      </w:r>
      <w:r>
        <w:t xml:space="preserve"> </w:t>
      </w:r>
      <w:r>
        <w:t xml:space="preserve">ou l'environnement et de l’autre la société, la culture ou les discours tenus </w:t>
      </w:r>
      <w:r>
        <w:rPr>
          <w:rStyle w:val="Corpsdutexte2Italique"/>
        </w:rPr>
        <w:t>sur</w:t>
      </w:r>
      <w:r>
        <w:t xml:space="preserve"> la nature</w:t>
      </w:r>
      <w:r>
        <w:rPr>
          <w:vertAlign w:val="superscript"/>
        </w:rPr>
        <w:t>34</w:t>
      </w:r>
      <w:r>
        <w:t>. Tout s’emmêle et s’entrelace. Nature</w:t>
      </w:r>
      <w:r w:rsidR="00280E92">
        <w:t>  </w:t>
      </w:r>
      <w:r>
        <w:t>et Société ne sont que deux termes provisoires, deux modalités de</w:t>
      </w:r>
      <w:r w:rsidR="00280E92">
        <w:t>  </w:t>
      </w:r>
      <w:r>
        <w:t>rangement des êtres et des choses qui peuplent le monde.</w:t>
      </w:r>
    </w:p>
    <w:p w14:paraId="29733E2F" w14:textId="2E373651" w:rsidR="00257CCB" w:rsidRDefault="00257CCB" w:rsidP="00012F30">
      <w:pPr>
        <w:pStyle w:val="Corpsdutexte20"/>
        <w:shd w:val="clear" w:color="auto" w:fill="auto"/>
        <w:spacing w:after="0"/>
        <w:ind w:firstLine="437"/>
      </w:pPr>
      <w:r>
        <w:t>Cet ouvrage se propose ainsi de replacer ce brouillard mortel de 1930 dans une histoire de près d’un siècle de pollutions, de</w:t>
      </w:r>
      <w:r w:rsidR="00280E92">
        <w:t>  </w:t>
      </w:r>
      <w:r>
        <w:t>transformations du territoire et des corps, et de Leur contestation,</w:t>
      </w:r>
      <w:r w:rsidR="00280E92">
        <w:t>  </w:t>
      </w:r>
      <w:r>
        <w:t>pour ainsi ne plus seulement l’appréhender comme un événement extraordinaire et aberrant, mais aussi, et peut-être avant tout,</w:t>
      </w:r>
      <w:r w:rsidR="00280E92">
        <w:t>  </w:t>
      </w:r>
      <w:r>
        <w:t>comme l’apogée de processus ordinaires de plus longues durées.</w:t>
      </w:r>
      <w:r w:rsidR="00280E92">
        <w:t>  </w:t>
      </w:r>
      <w:r>
        <w:t>Cette histoire se propose ainsi de lier, d’emmêler, autrement que</w:t>
      </w:r>
      <w:r w:rsidR="00280E92">
        <w:t>  </w:t>
      </w:r>
      <w:r>
        <w:t>ne l’ont fait les experts de la catastrophe, les divers éléments qui</w:t>
      </w:r>
      <w:r w:rsidR="00280E92">
        <w:t>  </w:t>
      </w:r>
      <w:r>
        <w:t>ont participé de sa production. Au lieu de les considérer indépendamment les uns des autres comme</w:t>
      </w:r>
      <w:r w:rsidR="00012F30">
        <w:t xml:space="preserve"> des entités autonomes ou indi</w:t>
      </w:r>
      <w:r>
        <w:t>viduelles, il s'agit de retisser un ensemble de relations qui les forment et les soutiennent.</w:t>
      </w:r>
    </w:p>
    <w:p w14:paraId="45255DCD" w14:textId="02FEA4BF" w:rsidR="00257CCB" w:rsidRDefault="00257CCB" w:rsidP="00012F30">
      <w:pPr>
        <w:pStyle w:val="Corpsdutexte20"/>
        <w:shd w:val="clear" w:color="auto" w:fill="auto"/>
        <w:spacing w:after="0"/>
        <w:ind w:firstLine="437"/>
      </w:pPr>
      <w:r>
        <w:t>Le brouillard condense. Il condense un amalgame d’êtres, de</w:t>
      </w:r>
      <w:r w:rsidR="00280E92">
        <w:rPr>
          <w:rFonts w:ascii="MingLiU" w:eastAsia="MingLiU" w:hAnsi="MingLiU" w:cs="MingLiU"/>
        </w:rPr>
        <w:t>  </w:t>
      </w:r>
      <w:r>
        <w:t>pratiques et de discours qui ont permis et accompagné l’industrialisation de la vallée. Le brouillard est le produit d’un monde singulier, et c’est à la transformation de nombreux aspects du monde qui</w:t>
      </w:r>
      <w:r w:rsidR="00280E92">
        <w:rPr>
          <w:rFonts w:ascii="MingLiU" w:eastAsia="MingLiU" w:hAnsi="MingLiU" w:cs="MingLiU"/>
        </w:rPr>
        <w:t>  </w:t>
      </w:r>
      <w:r>
        <w:t>le précède qu'il convient alors de se pencher pour saisir celui qui l’a</w:t>
      </w:r>
      <w:r w:rsidR="00280E92">
        <w:rPr>
          <w:rFonts w:ascii="MingLiU" w:eastAsia="MingLiU" w:hAnsi="MingLiU" w:cs="MingLiU"/>
        </w:rPr>
        <w:t>  </w:t>
      </w:r>
      <w:r>
        <w:t>généré. Par là, il ne s’agit pas de composer un récit dote d’une plus</w:t>
      </w:r>
      <w:r w:rsidR="00280E92">
        <w:rPr>
          <w:rFonts w:ascii="MingLiU" w:eastAsia="MingLiU" w:hAnsi="MingLiU" w:cs="MingLiU"/>
        </w:rPr>
        <w:t>  </w:t>
      </w:r>
      <w:r>
        <w:t>grande véracité que celui des experts et des récits qui lui font suite,</w:t>
      </w:r>
      <w:r w:rsidR="00280E92">
        <w:rPr>
          <w:rFonts w:ascii="MingLiU" w:eastAsia="MingLiU" w:hAnsi="MingLiU" w:cs="MingLiU"/>
        </w:rPr>
        <w:t>  </w:t>
      </w:r>
      <w:r>
        <w:t>plutôt convient-il de proposer un récit plus dense, plus embarras-</w:t>
      </w:r>
      <w:r w:rsidR="00280E92">
        <w:rPr>
          <w:rFonts w:ascii="MingLiU" w:eastAsia="MingLiU" w:hAnsi="MingLiU" w:cs="MingLiU"/>
        </w:rPr>
        <w:t>  </w:t>
      </w:r>
      <w:r>
        <w:t xml:space="preserve">sant aussi, un récit qui nous fasse </w:t>
      </w:r>
      <w:r>
        <w:rPr>
          <w:rStyle w:val="Corpsdutexte2Italique"/>
        </w:rPr>
        <w:t>sentir</w:t>
      </w:r>
      <w:r>
        <w:t xml:space="preserve"> que nous n'en avons pas</w:t>
      </w:r>
      <w:r w:rsidR="00347FA6">
        <w:t xml:space="preserve"> fini </w:t>
      </w:r>
      <w:r>
        <w:t>avec ce brouillard. Un récit qui invite à réactiver l'histoire, là où</w:t>
      </w:r>
      <w:r w:rsidR="00280E92">
        <w:rPr>
          <w:rFonts w:ascii="MingLiU" w:eastAsia="MingLiU" w:hAnsi="MingLiU" w:cs="MingLiU"/>
        </w:rPr>
        <w:t>  </w:t>
      </w:r>
      <w:r>
        <w:t>(les récits experts tendent à la clôturer. Un récit susceptible de multiples réappropriations collectives et qui remettent sérieusement</w:t>
      </w:r>
      <w:r w:rsidR="00280E92">
        <w:rPr>
          <w:rFonts w:ascii="MingLiU" w:eastAsia="MingLiU" w:hAnsi="MingLiU" w:cs="MingLiU"/>
        </w:rPr>
        <w:t>  </w:t>
      </w:r>
      <w:r>
        <w:t>en question les présupposés des enquêtes expertes et scientifiques</w:t>
      </w:r>
      <w:r w:rsidR="00280E92">
        <w:rPr>
          <w:rFonts w:ascii="MingLiU" w:eastAsia="MingLiU" w:hAnsi="MingLiU" w:cs="MingLiU"/>
        </w:rPr>
        <w:t>  </w:t>
      </w:r>
      <w:r>
        <w:t xml:space="preserve">qui participent, par les modalités qui leur sont propres et sans </w:t>
      </w:r>
      <w:r w:rsidR="00347FA6">
        <w:t>toujours</w:t>
      </w:r>
      <w:r>
        <w:t xml:space="preserve"> en mesurer les conséquences, à la transformation du monde</w:t>
      </w:r>
      <w:r w:rsidR="00280E92">
        <w:rPr>
          <w:rFonts w:ascii="MingLiU" w:eastAsia="MingLiU" w:hAnsi="MingLiU" w:cs="MingLiU"/>
        </w:rPr>
        <w:t>  </w:t>
      </w:r>
      <w:r>
        <w:t>qui est le nôtre. À la question de savoir «comment affirmer qu’une</w:t>
      </w:r>
      <w:r w:rsidR="00280E92">
        <w:rPr>
          <w:rFonts w:ascii="MingLiU" w:eastAsia="MingLiU" w:hAnsi="MingLiU" w:cs="MingLiU"/>
        </w:rPr>
        <w:t>  </w:t>
      </w:r>
      <w:r>
        <w:t>manière de raconter les évènements est meilleure ou plus digne</w:t>
      </w:r>
      <w:r w:rsidR="00280E92">
        <w:rPr>
          <w:rFonts w:ascii="MingLiU" w:eastAsia="MingLiU" w:hAnsi="MingLiU" w:cs="MingLiU"/>
        </w:rPr>
        <w:t>  </w:t>
      </w:r>
      <w:r>
        <w:t>d’intérêt qu’une autre», l’anthropologue David Abram répond</w:t>
      </w:r>
      <w:r w:rsidR="00280E92">
        <w:rPr>
          <w:rFonts w:ascii="MingLiU" w:eastAsia="MingLiU" w:hAnsi="MingLiU" w:cs="MingLiU"/>
        </w:rPr>
        <w:t>  </w:t>
      </w:r>
      <w:r>
        <w:rPr>
          <w:rStyle w:val="Corpsdutexte2Italique"/>
        </w:rPr>
        <w:t>l</w:t>
      </w:r>
      <w:r>
        <w:t xml:space="preserve"> «qu’une histoire doit être jugée selon qu’elle réussit ou non à faire</w:t>
      </w:r>
      <w:r w:rsidR="00280E92">
        <w:rPr>
          <w:rFonts w:ascii="MingLiU" w:eastAsia="MingLiU" w:hAnsi="MingLiU" w:cs="MingLiU"/>
        </w:rPr>
        <w:t>  </w:t>
      </w:r>
      <w:r>
        <w:t>sens</w:t>
      </w:r>
      <w:r>
        <w:rPr>
          <w:vertAlign w:val="superscript"/>
        </w:rPr>
        <w:t>33</w:t>
      </w:r>
      <w:r>
        <w:t xml:space="preserve">». Faire sens pour Abram, </w:t>
      </w:r>
      <w:r w:rsidR="00347FA6">
        <w:t>c’est</w:t>
      </w:r>
      <w:r>
        <w:t xml:space="preserve"> apprendre à sentir autrement,</w:t>
      </w:r>
      <w:r w:rsidR="00280E92">
        <w:rPr>
          <w:rFonts w:ascii="MingLiU" w:eastAsia="MingLiU" w:hAnsi="MingLiU" w:cs="MingLiU"/>
        </w:rPr>
        <w:t>  </w:t>
      </w:r>
      <w:r>
        <w:t>à nous rendre sensibles à ce à quoi nous ne l’étions pas auparavant.</w:t>
      </w:r>
      <w:r w:rsidR="00280E92">
        <w:rPr>
          <w:rFonts w:ascii="MingLiU" w:eastAsia="MingLiU" w:hAnsi="MingLiU" w:cs="MingLiU"/>
        </w:rPr>
        <w:t>  </w:t>
      </w:r>
      <w:r>
        <w:t>L'air que nous respirons est charge de poussières et de gaz toxiques,</w:t>
      </w:r>
      <w:r w:rsidR="00280E92">
        <w:rPr>
          <w:rFonts w:ascii="MingLiU" w:eastAsia="MingLiU" w:hAnsi="MingLiU" w:cs="MingLiU"/>
        </w:rPr>
        <w:t>  </w:t>
      </w:r>
      <w:r>
        <w:t xml:space="preserve">mais aussi d’histoires entremêlées et </w:t>
      </w:r>
      <w:r>
        <w:lastRenderedPageBreak/>
        <w:t>indémêlables et nous n’en</w:t>
      </w:r>
      <w:r w:rsidR="00280E92">
        <w:rPr>
          <w:rFonts w:ascii="MingLiU" w:eastAsia="MingLiU" w:hAnsi="MingLiU" w:cs="MingLiU"/>
        </w:rPr>
        <w:t>  </w:t>
      </w:r>
      <w:r>
        <w:t>sentons que si peu. Puisse l’histoire qui suit nous apprendre à res</w:t>
      </w:r>
      <w:r w:rsidR="00347FA6">
        <w:t>pirer</w:t>
      </w:r>
      <w:r>
        <w:t xml:space="preserve"> autrement et à frayer les voies d’un monde plus respirable.</w:t>
      </w:r>
    </w:p>
    <w:p w14:paraId="458C5B50" w14:textId="77777777" w:rsidR="00257CCB" w:rsidRDefault="00257CCB" w:rsidP="00012F30">
      <w:pPr>
        <w:pStyle w:val="Corpsdutexte20"/>
        <w:shd w:val="clear" w:color="auto" w:fill="auto"/>
        <w:spacing w:after="0"/>
        <w:ind w:firstLine="264"/>
      </w:pPr>
    </w:p>
    <w:p w14:paraId="638E3FF0" w14:textId="3497DDBC" w:rsidR="00641C77" w:rsidRDefault="00641C77" w:rsidP="00012F30">
      <w:pPr>
        <w:pStyle w:val="Corpsdutexte20"/>
        <w:shd w:val="clear" w:color="auto" w:fill="auto"/>
        <w:spacing w:after="0"/>
        <w:ind w:firstLine="274"/>
      </w:pPr>
    </w:p>
    <w:bookmarkEnd w:id="0"/>
    <w:sectPr w:rsidR="00641C77">
      <w:type w:val="continuous"/>
      <w:pgSz w:w="15840" w:h="12240" w:orient="landscape"/>
      <w:pgMar w:top="1015" w:right="975" w:bottom="1215" w:left="1109" w:header="0" w:footer="3" w:gutter="0"/>
      <w:cols w:num="2" w:space="130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B229F60" w14:textId="77777777" w:rsidR="00EF2A76" w:rsidRDefault="00EF2A76">
      <w:r>
        <w:separator/>
      </w:r>
    </w:p>
  </w:endnote>
  <w:endnote w:type="continuationSeparator" w:id="0">
    <w:p w14:paraId="507ADF4A" w14:textId="77777777" w:rsidR="00EF2A76" w:rsidRDefault="00EF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Gothic">
    <w:panose1 w:val="02000500000000000000"/>
    <w:charset w:val="81"/>
    <w:family w:val="auto"/>
    <w:pitch w:val="variable"/>
    <w:sig w:usb0="00000003" w:usb1="09060000" w:usb2="00000010" w:usb3="00000000" w:csb0="0008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D11D363" w14:textId="77777777" w:rsidR="00EF2A76" w:rsidRDefault="00EF2A76"/>
  </w:footnote>
  <w:footnote w:type="continuationSeparator" w:id="0">
    <w:p w14:paraId="782DD7B0" w14:textId="77777777" w:rsidR="00EF2A76" w:rsidRDefault="00EF2A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C77"/>
    <w:rsid w:val="00012F30"/>
    <w:rsid w:val="00257CCB"/>
    <w:rsid w:val="00280E92"/>
    <w:rsid w:val="00347FA6"/>
    <w:rsid w:val="00641C77"/>
    <w:rsid w:val="00AB3CD6"/>
    <w:rsid w:val="00AC6556"/>
    <w:rsid w:val="00DB2CDF"/>
    <w:rsid w:val="00DC33A3"/>
    <w:rsid w:val="00E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C49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utexte3Exact">
    <w:name w:val="Corps du texte (3) Exact"/>
    <w:basedOn w:val="Policepardfau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Corpsdutexte4Exact">
    <w:name w:val="Corps du texte (4) Exact"/>
    <w:basedOn w:val="Policepardfaut"/>
    <w:link w:val="Corpsdutext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orpsdutexte2">
    <w:name w:val="Corps du texte (2)_"/>
    <w:basedOn w:val="Policepardfaut"/>
    <w:link w:val="Corpsdutext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sdutexte2Italique">
    <w:name w:val="Corps du texte (2) + Italique"/>
    <w:basedOn w:val="Corpsdutex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Corpsdutexte210pt">
    <w:name w:val="Corps du texte (2) + 10 pt"/>
    <w:basedOn w:val="Corpsdutext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Corpsdutexte3">
    <w:name w:val="Corps du texte (3)_"/>
    <w:basedOn w:val="Policepardfaut"/>
    <w:link w:val="Corpsdutext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Corpsdutexte2Petitesmajuscules">
    <w:name w:val="Corps du texte (2) + Petites majuscules"/>
    <w:basedOn w:val="Corpsdutexte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Corpsdutexte5Exact">
    <w:name w:val="Corps du texte (5) Exact"/>
    <w:basedOn w:val="Policepardfaut"/>
    <w:link w:val="Corpsdutext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Corpsdutexte58ptGrasExact">
    <w:name w:val="Corps du texte (5) + 8 pt;Gras Exact"/>
    <w:basedOn w:val="Corpsdutexte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Corpsdutexte295ptEspacement1ptchelle75">
    <w:name w:val="Corps du texte (2) + 9.5 pt;Espacement 1 pt;Échelle 75%"/>
    <w:basedOn w:val="Corpsdutext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75"/>
      <w:position w:val="0"/>
      <w:sz w:val="19"/>
      <w:szCs w:val="19"/>
      <w:u w:val="none"/>
      <w:lang w:val="fr-FR" w:eastAsia="fr-FR" w:bidi="fr-FR"/>
    </w:rPr>
  </w:style>
  <w:style w:type="character" w:customStyle="1" w:styleId="Corpsdutexte211ptItaliqueEspacement0ptchelle66">
    <w:name w:val="Corps du texte (2) + 11 pt;Italique;Espacement 0 pt;Échelle 66%"/>
    <w:basedOn w:val="Corpsdutex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66"/>
      <w:position w:val="0"/>
      <w:sz w:val="22"/>
      <w:szCs w:val="22"/>
      <w:u w:val="none"/>
      <w:lang w:val="fr-FR" w:eastAsia="fr-FR" w:bidi="fr-FR"/>
    </w:rPr>
  </w:style>
  <w:style w:type="character" w:customStyle="1" w:styleId="Corpsdutexte211pt">
    <w:name w:val="Corps du texte (2) + 11 pt"/>
    <w:basedOn w:val="Corpsdutext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Corpsdutexte27ptEspacement0pt">
    <w:name w:val="Corps du texte (2) + 7 pt;Espacement 0 pt"/>
    <w:basedOn w:val="Corpsdutext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Corpsdutexte6">
    <w:name w:val="Corps du texte (6)_"/>
    <w:basedOn w:val="Policepardfaut"/>
    <w:link w:val="Corpsdutexte60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line="0" w:lineRule="atLeast"/>
      <w:ind w:hanging="6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Corpsdutexte4">
    <w:name w:val="Corps du texte (4)"/>
    <w:basedOn w:val="Normal"/>
    <w:link w:val="Corpsdutexte4Exact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after="180" w:line="2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sdutexte5">
    <w:name w:val="Corps du texte (5)"/>
    <w:basedOn w:val="Normal"/>
    <w:link w:val="Corpsdutexte5Exact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sdutexte60">
    <w:name w:val="Corps du texte (6)"/>
    <w:basedOn w:val="Normal"/>
    <w:link w:val="Corpsdutexte6"/>
    <w:pPr>
      <w:shd w:val="clear" w:color="auto" w:fill="FFFFFF"/>
      <w:spacing w:before="1440" w:after="1920" w:line="0" w:lineRule="atLeast"/>
      <w:ind w:hanging="2"/>
    </w:pPr>
    <w:rPr>
      <w:rFonts w:ascii="AppleGothic" w:eastAsia="AppleGothic" w:hAnsi="AppleGothic" w:cs="AppleGothic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2850</Words>
  <Characters>15678</Characters>
  <Application>Microsoft Macintosh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9</cp:revision>
  <dcterms:created xsi:type="dcterms:W3CDTF">2017-03-09T09:04:00Z</dcterms:created>
  <dcterms:modified xsi:type="dcterms:W3CDTF">2017-03-09T09:27:00Z</dcterms:modified>
</cp:coreProperties>
</file>